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453CD" w14:textId="77777777" w:rsidR="00AE28D5" w:rsidRPr="00DC7935" w:rsidRDefault="00AE28D5" w:rsidP="00AE28D5">
      <w:pPr>
        <w:numPr>
          <w:ilvl w:val="0"/>
          <w:numId w:val="1"/>
        </w:numPr>
        <w:tabs>
          <w:tab w:val="left" w:pos="13927"/>
        </w:tabs>
        <w:ind w:left="448" w:right="-57" w:hanging="284"/>
        <w:contextualSpacing/>
        <w:rPr>
          <w:rFonts w:ascii="Sparkasse Rg" w:hAnsi="Sparkasse Rg" w:cs="Arial"/>
          <w:bCs/>
          <w:sz w:val="26"/>
          <w:szCs w:val="26"/>
        </w:rPr>
      </w:pPr>
      <w:r w:rsidRPr="00DC7935">
        <w:rPr>
          <w:rFonts w:ascii="Sparkasse Rg" w:hAnsi="Sparkasse Rg" w:cs="Arial"/>
          <w:b/>
          <w:bCs/>
          <w:sz w:val="28"/>
          <w:szCs w:val="28"/>
        </w:rPr>
        <w:t>Rohstoffe: Ölpreis legt kontinuierlich zu</w:t>
      </w:r>
    </w:p>
    <w:p w14:paraId="0B3FDC4F" w14:textId="77777777" w:rsidR="00AE28D5" w:rsidRPr="00DC7935" w:rsidRDefault="00AE28D5" w:rsidP="00AE28D5">
      <w:pPr>
        <w:tabs>
          <w:tab w:val="left" w:pos="13927"/>
        </w:tabs>
        <w:ind w:left="448" w:right="-57"/>
        <w:contextualSpacing/>
        <w:rPr>
          <w:rFonts w:ascii="Sparkasse Rg" w:hAnsi="Sparkasse Rg" w:cs="Arial"/>
          <w:sz w:val="26"/>
          <w:szCs w:val="26"/>
        </w:rPr>
      </w:pPr>
      <w:r w:rsidRPr="00DC7935">
        <w:rPr>
          <w:rFonts w:ascii="Sparkasse Rg" w:hAnsi="Sparkasse Rg" w:cs="Arial"/>
          <w:sz w:val="26"/>
          <w:szCs w:val="26"/>
        </w:rPr>
        <w:t>Der Preis der Nordsee-Sorte Brent ist erstmals seit Ausbruch der Corona-Krise auf rund 50 USD je Barrel gestiegen und liegt damit gut 150 % über dem Jahrestief im April. Die gute Stimmung an den Weltbörsen sowie die Aussicht auf eine baldige Normalisierung der Wirtschaft mit der Einführung von Corona-Impfstoffen lässt die Hoffnung auf eine stärkere Nachfrage nach dem Rohöl wachsen. Dabei ist der Optimismus der Marktteilnehmer so groß, dass preisdrückende Nachrichten nur marginale bis keine Auswirkungen auf den Kurs haben. So belastete die Meldung des starken Anstiegs der Ölreserven in den USA den Preis nur zeitweise, genau wie die von der OPEC und Russland Anfang Dezember beschlossene Erhöhung der Fördermenge ab dem kommenden Jahr. Kurzfristig dürfte der Ölpreis mit den weiter steigenden Aktienmärkten im Rückenwind seinen Aufwärtstrend beibehalten.</w:t>
      </w:r>
    </w:p>
    <w:p w14:paraId="5D14AE59" w14:textId="54F87C0B" w:rsidR="00AE28D5" w:rsidRPr="00DC7935" w:rsidRDefault="00AE28D5" w:rsidP="00AE28D5">
      <w:pPr>
        <w:numPr>
          <w:ilvl w:val="0"/>
          <w:numId w:val="1"/>
        </w:numPr>
        <w:tabs>
          <w:tab w:val="left" w:pos="13927"/>
        </w:tabs>
        <w:ind w:left="448" w:right="-57" w:hanging="284"/>
        <w:contextualSpacing/>
        <w:rPr>
          <w:rFonts w:ascii="Sparkasse Rg" w:hAnsi="Sparkasse Rg" w:cs="Arial"/>
          <w:bCs/>
          <w:sz w:val="26"/>
          <w:szCs w:val="26"/>
        </w:rPr>
      </w:pPr>
      <w:bookmarkStart w:id="0" w:name="OLE_LINK802"/>
      <w:bookmarkStart w:id="1" w:name="OLE_LINK785"/>
      <w:bookmarkStart w:id="2" w:name="OLE_LINK786"/>
      <w:bookmarkStart w:id="3" w:name="OLE_LINK787"/>
      <w:r w:rsidRPr="00DC7935">
        <w:rPr>
          <w:rFonts w:ascii="Sparkasse Rg" w:hAnsi="Sparkasse Rg" w:cs="Arial"/>
          <w:b/>
          <w:bCs/>
          <w:sz w:val="28"/>
          <w:szCs w:val="28"/>
        </w:rPr>
        <w:t xml:space="preserve">Großbritannien: Wirtschaftswachstum verliert an </w:t>
      </w:r>
      <w:r w:rsidR="008D12C6" w:rsidRPr="00DC7935">
        <w:rPr>
          <w:rFonts w:ascii="Sparkasse Rg" w:hAnsi="Sparkasse Rg" w:cs="Arial"/>
          <w:b/>
          <w:bCs/>
          <w:sz w:val="28"/>
          <w:szCs w:val="28"/>
        </w:rPr>
        <w:t>Dynamik</w:t>
      </w:r>
    </w:p>
    <w:p w14:paraId="7D717A79" w14:textId="45B6B97E" w:rsidR="00AE28D5" w:rsidRPr="00DC7935" w:rsidRDefault="00AE28D5" w:rsidP="00AE28D5">
      <w:pPr>
        <w:tabs>
          <w:tab w:val="left" w:pos="13927"/>
        </w:tabs>
        <w:ind w:left="448" w:right="-57"/>
        <w:contextualSpacing/>
        <w:rPr>
          <w:rFonts w:ascii="Sparkasse Rg" w:hAnsi="Sparkasse Rg" w:cs="Arial"/>
          <w:sz w:val="26"/>
          <w:szCs w:val="26"/>
        </w:rPr>
      </w:pPr>
      <w:r w:rsidRPr="00DC7935">
        <w:rPr>
          <w:rFonts w:ascii="Sparkasse Rg" w:hAnsi="Sparkasse Rg" w:cs="Arial"/>
          <w:sz w:val="26"/>
          <w:szCs w:val="26"/>
        </w:rPr>
        <w:t xml:space="preserve">Schon im Herbst belasteten striktere Restriktionen, die zur Eindämmung der Pandemie beitragen sollten, die britische Wirtschaft. Das Bruttoinlandsprodukt (BIP) hat sich im Oktober abgeschwächt und stieg lediglich um 0,4 % zum Vormonat. Im September betrug das Wachstum noch 1,1 %, was ebenfalls 1 % unter dem Vormonatswert und unter den Erwartungen der Ökonomen lag. Endgültige Jahreszahlen legt das Land am 22. Dezember vor. Auch wenn Großbritannien als erstes Land ein Impfprogramm begonnen hat, wird die Wirtschaft laut dem britischem Finanzminister </w:t>
      </w:r>
      <w:proofErr w:type="spellStart"/>
      <w:r w:rsidRPr="00DC7935">
        <w:rPr>
          <w:rFonts w:ascii="Sparkasse Rg" w:hAnsi="Sparkasse Rg" w:cs="Arial"/>
          <w:sz w:val="26"/>
          <w:szCs w:val="26"/>
        </w:rPr>
        <w:t>Rishi</w:t>
      </w:r>
      <w:proofErr w:type="spellEnd"/>
      <w:r w:rsidRPr="00DC7935">
        <w:rPr>
          <w:rFonts w:ascii="Sparkasse Rg" w:hAnsi="Sparkasse Rg" w:cs="Arial"/>
          <w:sz w:val="26"/>
          <w:szCs w:val="26"/>
        </w:rPr>
        <w:t xml:space="preserve"> </w:t>
      </w:r>
      <w:proofErr w:type="spellStart"/>
      <w:r w:rsidRPr="00DC7935">
        <w:rPr>
          <w:rFonts w:ascii="Sparkasse Rg" w:hAnsi="Sparkasse Rg" w:cs="Arial"/>
          <w:sz w:val="26"/>
          <w:szCs w:val="26"/>
        </w:rPr>
        <w:t>Sunak</w:t>
      </w:r>
      <w:proofErr w:type="spellEnd"/>
      <w:r w:rsidRPr="00DC7935">
        <w:rPr>
          <w:rFonts w:ascii="Sparkasse Rg" w:hAnsi="Sparkasse Rg" w:cs="Arial"/>
          <w:sz w:val="26"/>
          <w:szCs w:val="26"/>
        </w:rPr>
        <w:t xml:space="preserve"> sein Vor-Corona-Niveau erst Ende 2022 erreichen können.</w:t>
      </w:r>
    </w:p>
    <w:p w14:paraId="0574749D" w14:textId="77777777" w:rsidR="00AE28D5" w:rsidRPr="00DC7935" w:rsidRDefault="00AE28D5" w:rsidP="00AE28D5">
      <w:pPr>
        <w:tabs>
          <w:tab w:val="left" w:pos="13927"/>
        </w:tabs>
        <w:ind w:left="448" w:right="-57"/>
        <w:contextualSpacing/>
        <w:rPr>
          <w:rFonts w:ascii="Sparkasse Rg" w:hAnsi="Sparkasse Rg" w:cs="Arial"/>
          <w:bCs/>
          <w:sz w:val="3"/>
          <w:szCs w:val="3"/>
        </w:rPr>
      </w:pPr>
    </w:p>
    <w:bookmarkEnd w:id="0"/>
    <w:bookmarkEnd w:id="1"/>
    <w:bookmarkEnd w:id="2"/>
    <w:bookmarkEnd w:id="3"/>
    <w:p w14:paraId="5FAA59DD" w14:textId="77777777" w:rsidR="00AE28D5" w:rsidRPr="00DC7935" w:rsidRDefault="00AE28D5" w:rsidP="00AE28D5">
      <w:pPr>
        <w:numPr>
          <w:ilvl w:val="0"/>
          <w:numId w:val="1"/>
        </w:numPr>
        <w:tabs>
          <w:tab w:val="left" w:pos="13927"/>
        </w:tabs>
        <w:ind w:left="448" w:right="-57" w:hanging="284"/>
        <w:contextualSpacing/>
        <w:rPr>
          <w:rFonts w:ascii="Sparkasse Rg" w:hAnsi="Sparkasse Rg" w:cs="Arial"/>
          <w:bCs/>
          <w:sz w:val="26"/>
          <w:szCs w:val="26"/>
        </w:rPr>
      </w:pPr>
      <w:r w:rsidRPr="00DC7935">
        <w:rPr>
          <w:rFonts w:ascii="Sparkasse Rg" w:hAnsi="Sparkasse Rg" w:cs="Arial"/>
          <w:b/>
          <w:bCs/>
          <w:sz w:val="28"/>
          <w:szCs w:val="28"/>
        </w:rPr>
        <w:t xml:space="preserve">Deutschland: Exporte verfehlen Erwartungen     </w:t>
      </w:r>
    </w:p>
    <w:p w14:paraId="25466148" w14:textId="77777777" w:rsidR="00AE28D5" w:rsidRPr="00DC7935" w:rsidRDefault="00AE28D5" w:rsidP="00AE28D5">
      <w:pPr>
        <w:tabs>
          <w:tab w:val="left" w:pos="13927"/>
        </w:tabs>
        <w:ind w:left="448" w:right="-57"/>
        <w:contextualSpacing/>
        <w:rPr>
          <w:rFonts w:ascii="Sparkasse Rg" w:hAnsi="Sparkasse Rg" w:cs="Arial"/>
          <w:sz w:val="26"/>
          <w:szCs w:val="26"/>
        </w:rPr>
      </w:pPr>
      <w:r w:rsidRPr="00DC7935">
        <w:rPr>
          <w:rFonts w:ascii="Sparkasse Rg" w:hAnsi="Sparkasse Rg" w:cs="Arial"/>
          <w:sz w:val="26"/>
          <w:szCs w:val="26"/>
        </w:rPr>
        <w:t>Die Exporte der deutschen Wirtschaft konnten erneut im Oktober zulegen und stiegen im Vergleich zum Vormonat um 0,8 % auf 112,0 Mrd. Euro. Damit sind sie allerdings 0,5 Prozentpunkte unter den Vorhersagen vieler Ökonomen und 6,5 % unter dem Vorjahresmonat. Nach einer Erholung im Sommer bedrohen die wieder steigenden Corona-Zahlen und die damit resultieren</w:t>
      </w:r>
      <w:r>
        <w:rPr>
          <w:rFonts w:ascii="Sparkasse Rg" w:hAnsi="Sparkasse Rg" w:cs="Arial"/>
          <w:sz w:val="26"/>
          <w:szCs w:val="26"/>
        </w:rPr>
        <w:t>-</w:t>
      </w:r>
      <w:r w:rsidRPr="00DC7935">
        <w:rPr>
          <w:rFonts w:ascii="Sparkasse Rg" w:hAnsi="Sparkasse Rg" w:cs="Arial"/>
          <w:sz w:val="26"/>
          <w:szCs w:val="26"/>
        </w:rPr>
        <w:t>den Verschärfungen und Lockdowns den positiven Trend der „Made in Germany“ Produkte. Auf der anderen Seite sind die Importe mit 0,3 % ebenfalls unter den Erwartungen geblieben. Gerechnet hat man mit einem Wachstum von 1,2 %. Dabei sanken vor allem die Importe aus den USA (-18,8 %) und aus Großbritannien (-17,6 %) am deutlichsten.</w:t>
      </w:r>
    </w:p>
    <w:p w14:paraId="180ED383" w14:textId="77777777" w:rsidR="00AE28D5" w:rsidRPr="00DC7935" w:rsidRDefault="00AE28D5" w:rsidP="00AE28D5">
      <w:pPr>
        <w:tabs>
          <w:tab w:val="left" w:pos="13927"/>
        </w:tabs>
        <w:ind w:left="448" w:right="-57"/>
        <w:contextualSpacing/>
        <w:rPr>
          <w:rFonts w:ascii="Sparkasse Rg" w:hAnsi="Sparkasse Rg" w:cs="Arial"/>
          <w:bCs/>
          <w:sz w:val="3"/>
          <w:szCs w:val="3"/>
        </w:rPr>
      </w:pPr>
    </w:p>
    <w:p w14:paraId="0BD4FF97" w14:textId="77777777" w:rsidR="00AE28D5" w:rsidRPr="00DC7935" w:rsidRDefault="00AE28D5" w:rsidP="00AE28D5">
      <w:pPr>
        <w:numPr>
          <w:ilvl w:val="0"/>
          <w:numId w:val="1"/>
        </w:numPr>
        <w:tabs>
          <w:tab w:val="left" w:pos="13927"/>
        </w:tabs>
        <w:ind w:left="448" w:right="-57" w:hanging="284"/>
        <w:contextualSpacing/>
        <w:rPr>
          <w:rFonts w:ascii="Sparkasse Rg" w:hAnsi="Sparkasse Rg" w:cs="Arial"/>
          <w:bCs/>
          <w:sz w:val="26"/>
          <w:szCs w:val="26"/>
        </w:rPr>
      </w:pPr>
      <w:r w:rsidRPr="00DC7935">
        <w:rPr>
          <w:rFonts w:ascii="Sparkasse Rg" w:hAnsi="Sparkasse Rg" w:cs="Arial"/>
          <w:b/>
          <w:bCs/>
          <w:sz w:val="28"/>
          <w:szCs w:val="28"/>
        </w:rPr>
        <w:t xml:space="preserve">Japan: Wirtschaftswachstum noch stärker als vorhergesagt     </w:t>
      </w:r>
    </w:p>
    <w:p w14:paraId="055E03C6" w14:textId="77777777" w:rsidR="00AE28D5" w:rsidRPr="00DC7935" w:rsidRDefault="00AE28D5" w:rsidP="00AE28D5">
      <w:pPr>
        <w:tabs>
          <w:tab w:val="left" w:pos="13927"/>
        </w:tabs>
        <w:ind w:left="448" w:right="-57"/>
        <w:contextualSpacing/>
        <w:rPr>
          <w:rFonts w:ascii="Sparkasse Rg" w:hAnsi="Sparkasse Rg" w:cs="Arial"/>
          <w:sz w:val="26"/>
          <w:szCs w:val="26"/>
        </w:rPr>
      </w:pPr>
      <w:r w:rsidRPr="00DC7935">
        <w:rPr>
          <w:rFonts w:ascii="Sparkasse Rg" w:hAnsi="Sparkasse Rg" w:cs="Arial"/>
          <w:sz w:val="26"/>
          <w:szCs w:val="26"/>
        </w:rPr>
        <w:t>Die japanische Wirtschaft legte im dritten Quartal noch stärker zu und wurde von zuerst angenommenen 21,4 % auf 22,9 % revidiert. Damit stieg das Bruttoinlandsprodukt (BIP) um 5,03 % zum Vorquartal. Und obwohl es das stärkste Wachstum seit vier Jahrzehnten war, dürften die Auswirkungen der Pandemie Japan noch weiterhin belasten und die Regierung als auch die Notenbank weiter dazu zwingen weitere Konjunkturpakete verabschieden und die ultralockere Geldpolitik beizubehalten.</w:t>
      </w:r>
    </w:p>
    <w:p w14:paraId="5A1844FE" w14:textId="77777777" w:rsidR="000B7F67" w:rsidRDefault="000B7F67"/>
    <w:sectPr w:rsidR="000B7F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parkasse Rg">
    <w:altName w:val="Calibri"/>
    <w:charset w:val="00"/>
    <w:family w:val="swiss"/>
    <w:pitch w:val="variable"/>
    <w:sig w:usb0="8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14332"/>
    <w:multiLevelType w:val="hybridMultilevel"/>
    <w:tmpl w:val="6E7E413E"/>
    <w:lvl w:ilvl="0" w:tplc="3502E3DC">
      <w:start w:val="1"/>
      <w:numFmt w:val="bullet"/>
      <w:lvlText w:val=""/>
      <w:lvlJc w:val="left"/>
      <w:pPr>
        <w:ind w:left="643" w:hanging="360"/>
      </w:pPr>
      <w:rPr>
        <w:rFonts w:ascii="Symbol" w:hAnsi="Symbol" w:hint="default"/>
        <w:color w:val="000000" w:themeColor="text1"/>
        <w:sz w:val="30"/>
        <w:szCs w:val="30"/>
      </w:rPr>
    </w:lvl>
    <w:lvl w:ilvl="1" w:tplc="04070003" w:tentative="1">
      <w:start w:val="1"/>
      <w:numFmt w:val="bullet"/>
      <w:lvlText w:val="o"/>
      <w:lvlJc w:val="left"/>
      <w:pPr>
        <w:ind w:left="1241" w:hanging="360"/>
      </w:pPr>
      <w:rPr>
        <w:rFonts w:ascii="Courier New" w:hAnsi="Courier New" w:cs="Courier New" w:hint="default"/>
      </w:rPr>
    </w:lvl>
    <w:lvl w:ilvl="2" w:tplc="04070005" w:tentative="1">
      <w:start w:val="1"/>
      <w:numFmt w:val="bullet"/>
      <w:lvlText w:val=""/>
      <w:lvlJc w:val="left"/>
      <w:pPr>
        <w:ind w:left="1961" w:hanging="360"/>
      </w:pPr>
      <w:rPr>
        <w:rFonts w:ascii="Wingdings" w:hAnsi="Wingdings" w:hint="default"/>
      </w:rPr>
    </w:lvl>
    <w:lvl w:ilvl="3" w:tplc="04070001" w:tentative="1">
      <w:start w:val="1"/>
      <w:numFmt w:val="bullet"/>
      <w:lvlText w:val=""/>
      <w:lvlJc w:val="left"/>
      <w:pPr>
        <w:ind w:left="2681" w:hanging="360"/>
      </w:pPr>
      <w:rPr>
        <w:rFonts w:ascii="Symbol" w:hAnsi="Symbol" w:hint="default"/>
      </w:rPr>
    </w:lvl>
    <w:lvl w:ilvl="4" w:tplc="04070003" w:tentative="1">
      <w:start w:val="1"/>
      <w:numFmt w:val="bullet"/>
      <w:lvlText w:val="o"/>
      <w:lvlJc w:val="left"/>
      <w:pPr>
        <w:ind w:left="3401" w:hanging="360"/>
      </w:pPr>
      <w:rPr>
        <w:rFonts w:ascii="Courier New" w:hAnsi="Courier New" w:cs="Courier New" w:hint="default"/>
      </w:rPr>
    </w:lvl>
    <w:lvl w:ilvl="5" w:tplc="04070005" w:tentative="1">
      <w:start w:val="1"/>
      <w:numFmt w:val="bullet"/>
      <w:lvlText w:val=""/>
      <w:lvlJc w:val="left"/>
      <w:pPr>
        <w:ind w:left="4121" w:hanging="360"/>
      </w:pPr>
      <w:rPr>
        <w:rFonts w:ascii="Wingdings" w:hAnsi="Wingdings" w:hint="default"/>
      </w:rPr>
    </w:lvl>
    <w:lvl w:ilvl="6" w:tplc="04070001" w:tentative="1">
      <w:start w:val="1"/>
      <w:numFmt w:val="bullet"/>
      <w:lvlText w:val=""/>
      <w:lvlJc w:val="left"/>
      <w:pPr>
        <w:ind w:left="4841" w:hanging="360"/>
      </w:pPr>
      <w:rPr>
        <w:rFonts w:ascii="Symbol" w:hAnsi="Symbol" w:hint="default"/>
      </w:rPr>
    </w:lvl>
    <w:lvl w:ilvl="7" w:tplc="04070003" w:tentative="1">
      <w:start w:val="1"/>
      <w:numFmt w:val="bullet"/>
      <w:lvlText w:val="o"/>
      <w:lvlJc w:val="left"/>
      <w:pPr>
        <w:ind w:left="5561" w:hanging="360"/>
      </w:pPr>
      <w:rPr>
        <w:rFonts w:ascii="Courier New" w:hAnsi="Courier New" w:cs="Courier New" w:hint="default"/>
      </w:rPr>
    </w:lvl>
    <w:lvl w:ilvl="8" w:tplc="04070005" w:tentative="1">
      <w:start w:val="1"/>
      <w:numFmt w:val="bullet"/>
      <w:lvlText w:val=""/>
      <w:lvlJc w:val="left"/>
      <w:pPr>
        <w:ind w:left="628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44"/>
    <w:rsid w:val="000B7F67"/>
    <w:rsid w:val="001A7044"/>
    <w:rsid w:val="008D12C6"/>
    <w:rsid w:val="00AE28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9101"/>
  <w15:chartTrackingRefBased/>
  <w15:docId w15:val="{60BFB9CD-5689-4B09-A168-09018386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8D5"/>
    <w:pPr>
      <w:spacing w:after="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2470</Characters>
  <Application>Microsoft Office Word</Application>
  <DocSecurity>0</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Rups</dc:creator>
  <cp:keywords/>
  <dc:description/>
  <cp:lastModifiedBy>Steven Rups</cp:lastModifiedBy>
  <cp:revision>5</cp:revision>
  <dcterms:created xsi:type="dcterms:W3CDTF">2021-09-15T05:19:00Z</dcterms:created>
  <dcterms:modified xsi:type="dcterms:W3CDTF">2021-09-15T05:24:00Z</dcterms:modified>
</cp:coreProperties>
</file>